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Carnival Tycoon Project: Lesson One Reflections</w:t>
      </w:r>
      <w:r w:rsidDel="00000000" w:rsidR="00000000" w:rsidRPr="00000000">
        <w:rPr>
          <w:rtl w:val="0"/>
        </w:rPr>
        <w:tab/>
        <w:t xml:space="preserve">Name:________________________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 the space below, define “Probability” in your own words. Give one practical, real-world example of how probability may be calculated. Do not use the coin, cards, or dice examples from lesson one notes.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